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</w:t>
      </w:r>
      <w:proofErr w:type="spellEnd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2C1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Е Н И Е </w:t>
      </w:r>
    </w:p>
    <w:p w:rsidR="002C1E95" w:rsidRPr="002C1E95" w:rsidRDefault="002C1E95" w:rsidP="002C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C5573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D5A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ACD">
        <w:rPr>
          <w:rFonts w:ascii="Times New Roman" w:hAnsi="Times New Roman" w:cs="Times New Roman"/>
          <w:sz w:val="24"/>
          <w:szCs w:val="24"/>
        </w:rPr>
        <w:t>05</w:t>
      </w:r>
      <w:r w:rsidR="00C5573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</w:t>
      </w:r>
      <w:r w:rsidR="003D5ACD">
        <w:rPr>
          <w:rFonts w:ascii="Times New Roman" w:hAnsi="Times New Roman" w:cs="Times New Roman"/>
          <w:sz w:val="24"/>
          <w:szCs w:val="24"/>
        </w:rPr>
        <w:t>62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  <w:r w:rsidR="00C55738">
        <w:rPr>
          <w:rFonts w:ascii="Times New Roman" w:hAnsi="Times New Roman" w:cs="Times New Roman"/>
          <w:sz w:val="24"/>
          <w:szCs w:val="24"/>
        </w:rPr>
        <w:tab/>
      </w:r>
    </w:p>
    <w:p w:rsidR="007F0D4E" w:rsidRPr="007E08DD" w:rsidRDefault="007F0D4E" w:rsidP="007F0D4E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рограммы профилактики нарушений обязательных требований земельного законодательства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2018 год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Лени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16.02.2015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29 «Об утверждении Порядка осуществления муниципального земельного контроля на</w:t>
      </w:r>
      <w:proofErr w:type="gramEnd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Ленинградской области</w:t>
      </w:r>
      <w:r w:rsidR="00126827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Решением  Совета депутатов  МО </w:t>
      </w:r>
      <w:proofErr w:type="spellStart"/>
      <w:r w:rsidR="00C55738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126827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C55738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за использованием земель на территории муниципального образования </w:t>
      </w:r>
      <w:proofErr w:type="spellStart"/>
      <w:r w:rsidR="00C55738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C55738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9C2492" w:rsidRP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5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программу 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профилактики нарушений обязательных требований земельного законодательства на 2018 год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5738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C55738">
        <w:rPr>
          <w:rFonts w:ascii="Times New Roman" w:eastAsia="Calibri" w:hAnsi="Times New Roman" w:cs="Times New Roman"/>
          <w:sz w:val="24"/>
          <w:szCs w:val="24"/>
        </w:rPr>
        <w:t>Ю.Б.Заремский</w:t>
      </w:r>
      <w:proofErr w:type="spellEnd"/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D260E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260E5">
        <w:rPr>
          <w:rFonts w:ascii="Times New Roman" w:hAnsi="Times New Roman" w:cs="Times New Roman"/>
          <w:bCs/>
          <w:sz w:val="20"/>
          <w:szCs w:val="20"/>
        </w:rPr>
        <w:t>Исполн</w:t>
      </w:r>
      <w:proofErr w:type="spellEnd"/>
      <w:r w:rsidRPr="00D260E5">
        <w:rPr>
          <w:rFonts w:ascii="Times New Roman" w:hAnsi="Times New Roman" w:cs="Times New Roman"/>
          <w:bCs/>
          <w:sz w:val="20"/>
          <w:szCs w:val="20"/>
        </w:rPr>
        <w:t xml:space="preserve">.:  </w:t>
      </w:r>
      <w:r w:rsidR="00C55738">
        <w:rPr>
          <w:rFonts w:ascii="Times New Roman" w:hAnsi="Times New Roman" w:cs="Times New Roman"/>
          <w:bCs/>
          <w:sz w:val="20"/>
          <w:szCs w:val="20"/>
        </w:rPr>
        <w:t>Поспелова Н.С.</w:t>
      </w:r>
    </w:p>
    <w:p w:rsidR="00D6124E" w:rsidRPr="00D260E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D260E5">
        <w:rPr>
          <w:rFonts w:ascii="Times New Roman" w:hAnsi="Times New Roman" w:cs="Times New Roman"/>
          <w:bCs/>
          <w:sz w:val="20"/>
          <w:szCs w:val="20"/>
        </w:rPr>
        <w:t>Разосл</w:t>
      </w:r>
      <w:proofErr w:type="spellEnd"/>
      <w:r w:rsidRPr="00D260E5">
        <w:rPr>
          <w:rFonts w:ascii="Times New Roman" w:hAnsi="Times New Roman" w:cs="Times New Roman"/>
          <w:bCs/>
          <w:sz w:val="20"/>
          <w:szCs w:val="20"/>
        </w:rPr>
        <w:t xml:space="preserve">.: Дело-3, </w:t>
      </w:r>
      <w:r w:rsidR="0002718E" w:rsidRPr="00D260E5">
        <w:rPr>
          <w:rFonts w:ascii="Times New Roman" w:hAnsi="Times New Roman" w:cs="Times New Roman"/>
          <w:bCs/>
          <w:sz w:val="20"/>
          <w:szCs w:val="20"/>
        </w:rPr>
        <w:t>прокуратура-1</w:t>
      </w:r>
      <w:r w:rsidRPr="00D260E5">
        <w:rPr>
          <w:rFonts w:ascii="Times New Roman" w:hAnsi="Times New Roman" w:cs="Times New Roman"/>
          <w:bCs/>
          <w:sz w:val="20"/>
          <w:szCs w:val="20"/>
        </w:rPr>
        <w:t>, СМИ-1</w:t>
      </w:r>
    </w:p>
    <w:p w:rsidR="000E4766" w:rsidRPr="00D260E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08028B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F131DA" w:rsidRPr="00D260E5" w:rsidRDefault="00F131DA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305CE" w:rsidRPr="00D260E5" w:rsidRDefault="005305CE" w:rsidP="00F131DA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F131D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F131DA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proofErr w:type="spellStart"/>
      <w:r w:rsidR="00C55738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Pr="00D260E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Pr="00C565AC" w:rsidRDefault="00396884" w:rsidP="00C565AC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D5ACD">
        <w:rPr>
          <w:rFonts w:ascii="Times New Roman" w:hAnsi="Times New Roman" w:cs="Times New Roman"/>
          <w:bCs/>
          <w:sz w:val="24"/>
          <w:szCs w:val="24"/>
        </w:rPr>
        <w:t xml:space="preserve">62  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D5ACD">
        <w:rPr>
          <w:rFonts w:ascii="Times New Roman" w:hAnsi="Times New Roman" w:cs="Times New Roman"/>
          <w:bCs/>
          <w:sz w:val="24"/>
          <w:szCs w:val="24"/>
        </w:rPr>
        <w:t>05 марта</w:t>
      </w:r>
      <w:r w:rsidR="00485C4D">
        <w:rPr>
          <w:rFonts w:ascii="Times New Roman" w:hAnsi="Times New Roman" w:cs="Times New Roman"/>
          <w:bCs/>
          <w:sz w:val="24"/>
          <w:szCs w:val="24"/>
        </w:rPr>
        <w:t xml:space="preserve">  2018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ПРОГРАММА</w:t>
      </w: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ПРОФИЛАКТИКИ НАРУШЕНИЙ ОБЯЗАТЕЛЬНЫХ</w:t>
      </w:r>
    </w:p>
    <w:p w:rsidR="007F0D4E" w:rsidRPr="007E08DD" w:rsidRDefault="007F0D4E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ТРЕБОВАНИЙ ЗЕМЕЛЬНОГО ЗАКОНОДАТЕЛЬСТВА НА 2018 ГОД</w:t>
      </w:r>
    </w:p>
    <w:p w:rsidR="007F0D4E" w:rsidRDefault="007F0D4E" w:rsidP="007F0D4E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  <w:bookmarkStart w:id="0" w:name="_GoBack"/>
      <w:bookmarkEnd w:id="0"/>
    </w:p>
    <w:p w:rsidR="007F0D4E" w:rsidRPr="007E08DD" w:rsidRDefault="007F0D4E" w:rsidP="007F0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ОБЩИЕ ПОЛОЖЕНИЯ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</w:t>
      </w:r>
      <w:proofErr w:type="gramStart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C5573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Красноозерное</w:t>
      </w:r>
      <w:proofErr w:type="spellEnd"/>
      <w:r w:rsidRPr="007F0D4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требований земельного законодательства и снижения рисков причинения ущерба охраняемым законом ценностям.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Целью программы является: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1) предупреждение </w:t>
      </w:r>
      <w:proofErr w:type="gramStart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нарушений</w:t>
      </w:r>
      <w:proofErr w:type="gramEnd"/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создание мотивации к добросовестному поведению подконтрольных субъектов;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снижение уровня ущерба охраняемым законом ценностям.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Задачами программы являются: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повышение правосознания и правовой культуры подконтрольных субъектов.</w:t>
      </w:r>
    </w:p>
    <w:p w:rsidR="007F0D4E" w:rsidRPr="007E08DD" w:rsidRDefault="007F0D4E" w:rsidP="007F0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1.5. Срок реализации программы - 2018 год.</w:t>
      </w:r>
    </w:p>
    <w:p w:rsidR="007F0D4E" w:rsidRDefault="007F0D4E" w:rsidP="007F0D4E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F0D4E" w:rsidRPr="007E08DD" w:rsidRDefault="007F0D4E" w:rsidP="007F0D4E">
      <w:pPr>
        <w:spacing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ПЛАН-ГРАФИК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982"/>
        <w:gridCol w:w="2095"/>
        <w:gridCol w:w="2192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официальном сайте Администрации в информационно телекоммуникационной сети «Интернет» нормативно-правовых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  <w:r w:rsidR="00EB64F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поддержание их в актуальном </w:t>
            </w:r>
            <w:r w:rsidR="00EB64F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состоянии.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065C9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</w:t>
            </w:r>
            <w:r w:rsidR="00065C9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уществление информирования юриди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ческих лиц и индивидуальных предпринимателей в случае изменения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подготовка и распространение комментариев 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Постоянно, по мере внесений изменений в нормативно-правовые акты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EB64F3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B64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9C26DF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F0D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7419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Обобщение и размещение на сайте Администрации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419FC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Ответственный специалист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419FC" w:rsidRDefault="007419FC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2C1E95" w:rsidRDefault="002C1E95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2C1E95" w:rsidRDefault="002C1E95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 xml:space="preserve">3. ПЕРЕЧЕНЬ АКТОВ, СОДЕРЖАЩИХ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ОБЯЗАТЕЛЬНЫЕ</w:t>
      </w:r>
      <w:proofErr w:type="gramEnd"/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ТРЕБОВАНИЯ, СОБЛЮДЕНИЕ КОТОРЫХ ОЦЕНИВАЕТСЯ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ПРОВЕДЕНИИ МЕРОПРИЯТИЙ ПО КОНТРОЛЮ</w:t>
      </w:r>
    </w:p>
    <w:p w:rsidR="007419FC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ПРИ ОСУЩЕСТВЛЕНИИ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</w:p>
    <w:p w:rsidR="007F0D4E" w:rsidRPr="007E08DD" w:rsidRDefault="007F0D4E" w:rsidP="00741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</w:t>
      </w:r>
      <w:r w:rsidR="007419F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КОНТРОЛЯ</w:t>
      </w:r>
    </w:p>
    <w:p w:rsidR="007419FC" w:rsidRDefault="007419FC" w:rsidP="007F0D4E">
      <w:pPr>
        <w:spacing w:line="238" w:lineRule="atLeast"/>
        <w:jc w:val="center"/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</w:pPr>
    </w:p>
    <w:p w:rsidR="007F0D4E" w:rsidRPr="007E08DD" w:rsidRDefault="007F0D4E" w:rsidP="007419FC">
      <w:pPr>
        <w:spacing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3.1. ФЕДЕРАЛЬНЫЕ ЗАКОНЫ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37"/>
        <w:gridCol w:w="3491"/>
        <w:gridCol w:w="1840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описание круга лиц и (или) перечня объектов, в отношении которых устанавливаются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обязательные</w:t>
            </w:r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 структурные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единицы акта,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7F0D4E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08DD" w:rsidRPr="007E08DD" w:rsidRDefault="007F0D4E" w:rsidP="007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«Земельный кодекс Российской Федерации» от 25 октября 2001 года № 136-ФЗ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12, пункт 2 статьи 13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25,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26,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15 апреля 1998 года №66-ФЗ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 статьи 2,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 статьи 4,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статья 10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3.2. УКАЗЫ ПРЕЗИДЕНТА РОССИЙСКОЙ ФЕДЕРАЦИИ,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ПОСТАНОВЛЕНИЯ И РАСПОРЯЖЕНИЯ ПРАВИТЕЛЬСТВА</w:t>
      </w:r>
    </w:p>
    <w:p w:rsidR="007F0D4E" w:rsidRPr="007E08DD" w:rsidRDefault="007F0D4E" w:rsidP="007419F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РОССИЙСКОЙ ФЕДЕРАЦИИ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743"/>
        <w:gridCol w:w="1869"/>
        <w:gridCol w:w="2638"/>
        <w:gridCol w:w="2033"/>
      </w:tblGrid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документа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Сведения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 утверждении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которых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постановление Правительства Российской Федерации от 03.12.2014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  <w:tr w:rsidR="007F0D4E" w:rsidRPr="007E08DD" w:rsidTr="007419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постановление Правительства Российской Федерации от 23.02.1994</w:t>
            </w:r>
          </w:p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№140</w:t>
            </w:r>
          </w:p>
          <w:p w:rsidR="007E08DD" w:rsidRPr="007E08DD" w:rsidRDefault="009C26DF" w:rsidP="00F22FE2">
            <w:pPr>
              <w:spacing w:after="24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</w:tc>
      </w:tr>
    </w:tbl>
    <w:p w:rsidR="007419FC" w:rsidRDefault="007419FC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ТЕКСТЫ ПОЛОЖЕНИЙ НОРМАТИВНЫХ ПРАВОВЫХ АКТОВ,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СОДЕРЖАЩИХ</w:t>
      </w:r>
      <w:proofErr w:type="gramEnd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ОБЯЗАТЕЛЬНЫЕ ТРЕБОВАНИЯ, СОБЛЮДЕНИЕ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КОТОРЫХ ОЦЕНИВАЕТСЯ ПРИ ПРОВЕДЕНИИ МЕРОПРИЯТИЙ</w:t>
      </w:r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ПО КОНТРОЛЮ ПРИ ОСУЩЕСТВЛЕНИИ </w:t>
      </w:r>
      <w:proofErr w:type="gramStart"/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МУНИЦИПАЛЬНОГО</w:t>
      </w:r>
      <w:proofErr w:type="gramEnd"/>
    </w:p>
    <w:p w:rsidR="007F0D4E" w:rsidRPr="007E08DD" w:rsidRDefault="007F0D4E" w:rsidP="00741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E08D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ЗЕМЕЛЬНОГО КОНТРОЛЯ</w:t>
      </w:r>
    </w:p>
    <w:tbl>
      <w:tblPr>
        <w:tblW w:w="10207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9"/>
        <w:gridCol w:w="1559"/>
        <w:gridCol w:w="37"/>
        <w:gridCol w:w="7975"/>
        <w:gridCol w:w="68"/>
      </w:tblGrid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Структурная единица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Содержание положения нормативного правового акта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 Земельный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7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земли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земли населенных пунктов;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4) земли особо охраняемых территорий и объектов;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5) земли лесного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6) земли водного фонда;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7) земли запаса.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13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25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10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1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возникают по основаниям, установленным </w:t>
            </w:r>
            <w:hyperlink r:id="rId12" w:anchor="/document/10164072/entry/1017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гражданским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федеральными законами, и подлежат государственной регистрации в соответствии с </w:t>
            </w:r>
            <w:hyperlink r:id="rId13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26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 на земельные участки, предусмотренные </w:t>
            </w:r>
            <w:hyperlink r:id="rId14" w:anchor="/document/12124624/entry/3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главами III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15" w:anchor="/document/12124624/entry/400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IV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настоящего Кодекса, удостоверяются документами в порядке, установленном </w:t>
            </w:r>
            <w:hyperlink r:id="rId16" w:anchor="/document/71129192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«О государственной регистрации недвижимости».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42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9C26DF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anchor="/document/12124624/entry/5301" w:history="1">
              <w:r w:rsidR="007F0D4E"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Собственники земельных участков</w:t>
              </w:r>
            </w:hyperlink>
            <w:r w:rsidR="007F0D4E"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лица, не являющиеся собственниками земельных участков,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земельные участки в соответствии с их целевым назначением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способами, которые не должны наносить вред окружающей среде, в том числе земле как природному объекту;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2. Гражданский кодекс Российской Федерации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1, 2 статьи 8.1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субъект права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содержание права, основание его возникновения.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</w:t>
            </w:r>
            <w:r w:rsidR="0064023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недвижимости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если иное не установлено законом.</w:t>
            </w:r>
          </w:p>
        </w:tc>
      </w:tr>
      <w:tr w:rsidR="007F0D4E" w:rsidRPr="007E08DD" w:rsidTr="00640236">
        <w:trPr>
          <w:gridBefore w:val="1"/>
          <w:wBefore w:w="39" w:type="dxa"/>
        </w:trPr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 Федеральный закон от 15 апреля 1998 года № 66-ФЗ «О садоводческих, огороднических и дачных некоммерческих объединениях граждан»</w:t>
            </w:r>
          </w:p>
        </w:tc>
      </w:tr>
      <w:tr w:rsidR="00640236" w:rsidRPr="007E08DD" w:rsidTr="0064023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Для целей настоящего Федерального закона используются следующие основные понятия: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огородный земельный участок - земельный участок, предоставленный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дачный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земельный участок - земельный участок, предоставленный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гражданину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садоводческое,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или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</w:t>
            </w:r>
            <w:r w:rsidR="00640236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некоммерческая организация, учрежденная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гражданами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на добровольных началах для содействия ее членам в решении общих социально-хозяйственных задач ведения садоводства,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огородничества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и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дачного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хозяйства (далее - садоводческое, огородническое или дачное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некоммерческое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объединение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вступительные взносы - денежные средства, внесенные членами садоводческого, огороднического или дачного некоммерческого объединения на организационные расходы на оформление документации;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членские взносы - денежные средства, периодически вносимые членами садоводческого, огороднического или дачного некоммерческого объединения на содержание имущества общего пользования, оплату труда работников, заключивших трудовые договоры с таким объединением, и другие текущие расходы такого объединения;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целевые взносы - денежные средства, внесенные членами садоводческого, огороднического или дачного некоммерческого товарищества либо садоводческого, огороднического или дачного некоммерческого партнерства на приобретение (создание) объектов общего пользования;</w:t>
            </w:r>
            <w:proofErr w:type="gramEnd"/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паевые взносы - имущественные взносы, внесенные членами садоводческого, огороднического или дачного потребительского кооператива на приобретение (создание) имущества общего пользования;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дополнительные взносы - денежные средства, внесенные членами садоводческого, огороднического или дачного потребительского кооператива на покрытие убытков, образовавшихся при осуществлении мероприятий, утвержденных общим собранием членов потребительского кооператива;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имущество общего пользования - имущество (в том числе земельные участки), предназначенное для обеспечения в пределах территории садоводческого, огороднического или дачного некоммерческого объединения потребностей членов такого некоммерческого объединения в проходе, проезде, водоснабжении и водоотведении, электроснабжении, газоснабжении, теплоснабжении, охране, организации отдыха и иных потребностей (дороги, водонапорные башни, общие ворота и заборы, котельные, детские и спортивные площадки, площадки для сбора мусора, противопожарные сооружения 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тому подобное).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подпункты 3, 7 пункта 2 статьи 19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Член садоводческого, огороднического или дачного некоммерческого объединения обязан: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3) самостоятельно хозяйствовать на своем земельном участке в соответствии с его разрешенным использованием;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7) при ликвидации садоводческого, огороднического или дачного некоммерческого объединения получать причитающуюся долю имущества общего пользования.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4. Федеральный закон от 07 июля 2003 года №112-ФЗ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личном подсобном хозяйстве»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1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2, 3, 4, 5 статьи 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Предоставление таких земель осуществляется в порядке, установленном </w:t>
            </w:r>
            <w:hyperlink r:id="rId18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земельным 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 </w:t>
            </w:r>
            <w:hyperlink r:id="rId19" w:anchor="/document/71388648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Федеральным 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«Об особенностях предоставления гражданам земельных участков,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Российской Федерации».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10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Ведение личного подсобного хозяйства прекращается в случае прекращения прав на земельный участок, на котором ведется 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подсобное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7E08DD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хозяйство.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5. Федеральный закон от 24 июля 2002 года №101-ФЗ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«Об обороте 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3, 17 статьи 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6. Федеральный закон от 25 октября 2001 года №137-ФЗ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2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за исключением указанных в </w:t>
            </w:r>
            <w:hyperlink r:id="rId20" w:anchor="/document/12124624/entry/399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пункте 2 статьи 39.9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 </w:t>
            </w:r>
            <w:hyperlink r:id="rId21" w:anchor="/document/12124624/entry/500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главой V.1</w:t>
              </w:r>
              <w:proofErr w:type="gramEnd"/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Федерации. </w:t>
            </w: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ценам, предусмотренным соответственно </w:t>
            </w:r>
            <w:hyperlink r:id="rId22" w:anchor="/document/12124625/entry/2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пунктами 1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hyperlink r:id="rId23" w:anchor="/document/12124625/entry/20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2 статьи 2 </w:t>
              </w:r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настоящего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Федерального закона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трех десятых процента кадастровой стоимости арендуемых земельных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участков из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 </w:t>
            </w:r>
            <w:hyperlink r:id="rId24" w:anchor="/document/12224624/entry/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3"/>
                  <w:szCs w:val="23"/>
                  <w:bdr w:val="none" w:sz="0" w:space="0" w:color="auto" w:frame="1"/>
                  <w:lang w:eastAsia="ru-RU"/>
                </w:rPr>
                <w:t>введения в действие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Земельного кодекса Российской Федерации в собственности общероссийских общественных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      </w:r>
            <w:proofErr w:type="gramEnd"/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7. Градостроительный кодекс Российской Федерации»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пункты 17, 19 статьи 51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17.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строительство не требуется в случае: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строительства, реконструкции объектов, не являющихся </w:t>
            </w:r>
            <w:hyperlink r:id="rId25" w:anchor="/document/12138258/entry/1010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объектами капитального строительства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(киосков, навесов и других);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строительства на земельном участке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строений и сооружений вспомогательного использования;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4) изменения объектов капитального строительства и (или) их частей, если такие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 </w:t>
            </w:r>
            <w:hyperlink r:id="rId26" w:anchor="/document/12138258/entry/109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градостроительным регламентом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4.1) капитального ремонта объектов капитального строительства;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4.2) строительства, реконструкции буровых скважин, предусмотренных подготовленными, согласованными и утвержденными в соответствии с </w:t>
            </w:r>
            <w:hyperlink r:id="rId27" w:anchor="/document/10104313/entry/23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законодательством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иных случаях, если в соответствии с настоящим Кодексом, законодательством субъектов Российской Федерации о </w:t>
            </w:r>
            <w:hyperlink r:id="rId28" w:anchor="/document/12138258/entry/101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градостроительной деятельности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получение разрешения на строительство не требуется.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19. Разрешение на строительство выдается на весь срок, предусмотренный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проектом организации строительства объекта капитального строительства, за исключением случаев, если такое разрешение выдается в соответствии с </w:t>
            </w:r>
            <w:hyperlink r:id="rId29" w:anchor="/document/12138258/entry/51012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частью 12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настоящей статьи.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Разрешение на индивидуальное жилищное строительство выдается на десять лет.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8. Федеральный закон от 21 декабря 2001 года №178-ФЗ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приватизации государственного и муниципального имущества»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</w:t>
            </w:r>
          </w:p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28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7E08DD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Отказ в выкупе земельного участка или </w:t>
            </w: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предоставлении его в аренду не допускается, за исключением случаев, предусмотренных </w:t>
            </w:r>
            <w:hyperlink r:id="rId30" w:anchor="/document/12125505/entry/513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законом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9. Федеральный закон от 16 июля 1998 года №101-ФЗ</w:t>
            </w:r>
          </w:p>
          <w:p w:rsidR="007F0D4E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«О государственном регулировании обеспечения плодородия</w:t>
            </w:r>
          </w:p>
          <w:p w:rsidR="007E08DD" w:rsidRPr="007E08DD" w:rsidRDefault="007F0D4E" w:rsidP="006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земель сельскохозяйственного назначения»</w:t>
            </w:r>
          </w:p>
        </w:tc>
      </w:tr>
      <w:tr w:rsidR="007F0D4E" w:rsidRPr="007E08DD" w:rsidTr="00640236">
        <w:trPr>
          <w:gridAfter w:val="1"/>
          <w:wAfter w:w="68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E08DD" w:rsidRPr="007E08DD" w:rsidRDefault="007F0D4E" w:rsidP="00F22FE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статья 8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пестицидов;</w:t>
            </w:r>
          </w:p>
          <w:p w:rsidR="007F0D4E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7F0D4E" w:rsidRPr="007E08DD" w:rsidRDefault="007F0D4E" w:rsidP="00F22FE2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информировать соответствующие органы исполнительной власти о фактах </w:t>
            </w:r>
            <w:hyperlink r:id="rId31" w:anchor="/document/12112328/entry/104" w:history="1">
              <w:r w:rsidRPr="00065C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деградации земель сельскохозяйственного назначения</w:t>
              </w:r>
            </w:hyperlink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загрязнения почв на земельных участках, находящихся в их владении или пользовании;</w:t>
            </w:r>
          </w:p>
          <w:p w:rsidR="007E08DD" w:rsidRPr="007E08DD" w:rsidRDefault="007F0D4E" w:rsidP="00F22FE2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7E0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</w:t>
            </w:r>
            <w:r w:rsidRPr="007E08D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актами субъектов Российской Федерации, а также нормативными правовыми актами органов местного самоуправления.</w:t>
            </w:r>
            <w:proofErr w:type="gramEnd"/>
          </w:p>
        </w:tc>
      </w:tr>
    </w:tbl>
    <w:p w:rsidR="007F0D4E" w:rsidRDefault="007F0D4E" w:rsidP="007F0D4E"/>
    <w:p w:rsidR="005D1DEC" w:rsidRPr="00D260E5" w:rsidRDefault="005D1DEC" w:rsidP="005D1DEC">
      <w:pPr>
        <w:pStyle w:val="3"/>
        <w:contextualSpacing/>
        <w:rPr>
          <w:rFonts w:ascii="Times New Roman" w:hAnsi="Times New Roman" w:cs="Times New Roman"/>
          <w:color w:val="auto"/>
        </w:rPr>
      </w:pPr>
    </w:p>
    <w:sectPr w:rsidR="005D1DEC" w:rsidRPr="00D260E5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DF" w:rsidRDefault="009C26DF" w:rsidP="0008028B">
      <w:pPr>
        <w:spacing w:after="0" w:line="240" w:lineRule="auto"/>
      </w:pPr>
      <w:r>
        <w:separator/>
      </w:r>
    </w:p>
  </w:endnote>
  <w:endnote w:type="continuationSeparator" w:id="0">
    <w:p w:rsidR="009C26DF" w:rsidRDefault="009C26DF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DF" w:rsidRDefault="009C26DF" w:rsidP="0008028B">
      <w:pPr>
        <w:spacing w:after="0" w:line="240" w:lineRule="auto"/>
      </w:pPr>
      <w:r>
        <w:separator/>
      </w:r>
    </w:p>
  </w:footnote>
  <w:footnote w:type="continuationSeparator" w:id="0">
    <w:p w:rsidR="009C26DF" w:rsidRDefault="009C26DF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87F8A"/>
    <w:rsid w:val="000A0202"/>
    <w:rsid w:val="000D043B"/>
    <w:rsid w:val="000E4766"/>
    <w:rsid w:val="00106131"/>
    <w:rsid w:val="00126827"/>
    <w:rsid w:val="00134805"/>
    <w:rsid w:val="001745B6"/>
    <w:rsid w:val="00184C5C"/>
    <w:rsid w:val="001B6263"/>
    <w:rsid w:val="0028447A"/>
    <w:rsid w:val="002A2B90"/>
    <w:rsid w:val="002C1E70"/>
    <w:rsid w:val="002C1E95"/>
    <w:rsid w:val="002C323F"/>
    <w:rsid w:val="002D2EF8"/>
    <w:rsid w:val="003009AE"/>
    <w:rsid w:val="0034297A"/>
    <w:rsid w:val="00347EDF"/>
    <w:rsid w:val="00396884"/>
    <w:rsid w:val="00397404"/>
    <w:rsid w:val="003D5ACD"/>
    <w:rsid w:val="003F5DDE"/>
    <w:rsid w:val="00412C20"/>
    <w:rsid w:val="0047747E"/>
    <w:rsid w:val="00485C4D"/>
    <w:rsid w:val="00494591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30857"/>
    <w:rsid w:val="009466D4"/>
    <w:rsid w:val="0094764D"/>
    <w:rsid w:val="009602AD"/>
    <w:rsid w:val="009C2492"/>
    <w:rsid w:val="009C26DF"/>
    <w:rsid w:val="009C7583"/>
    <w:rsid w:val="00A02DD6"/>
    <w:rsid w:val="00A832FE"/>
    <w:rsid w:val="00A91BD4"/>
    <w:rsid w:val="00AB613D"/>
    <w:rsid w:val="00B1248D"/>
    <w:rsid w:val="00B52606"/>
    <w:rsid w:val="00B73FBB"/>
    <w:rsid w:val="00BB3578"/>
    <w:rsid w:val="00BD3F65"/>
    <w:rsid w:val="00BE57BE"/>
    <w:rsid w:val="00C25045"/>
    <w:rsid w:val="00C55738"/>
    <w:rsid w:val="00C565AC"/>
    <w:rsid w:val="00D260E5"/>
    <w:rsid w:val="00D6124E"/>
    <w:rsid w:val="00E177B8"/>
    <w:rsid w:val="00E92915"/>
    <w:rsid w:val="00EB00BA"/>
    <w:rsid w:val="00EB64F3"/>
    <w:rsid w:val="00F131DA"/>
    <w:rsid w:val="00F15C89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8C88-0F0F-4473-8A86-781800B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4863</Words>
  <Characters>27724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Землеустроитель</cp:lastModifiedBy>
  <cp:revision>4</cp:revision>
  <cp:lastPrinted>2018-02-22T10:57:00Z</cp:lastPrinted>
  <dcterms:created xsi:type="dcterms:W3CDTF">2018-03-02T13:36:00Z</dcterms:created>
  <dcterms:modified xsi:type="dcterms:W3CDTF">2018-03-05T08:16:00Z</dcterms:modified>
</cp:coreProperties>
</file>